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2B4FA266"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E2BAC">
        <w:rPr>
          <w:rFonts w:eastAsia="Times New Roman"/>
          <w:bCs/>
          <w:sz w:val="24"/>
          <w:szCs w:val="24"/>
          <w:lang w:eastAsia="ja-JP"/>
        </w:rPr>
        <w:t>#100</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654F30">
        <w:rPr>
          <w:rFonts w:eastAsia="Times New Roman"/>
          <w:bCs/>
          <w:sz w:val="24"/>
          <w:szCs w:val="24"/>
          <w:lang w:eastAsia="ja-JP"/>
        </w:rPr>
        <w:t xml:space="preserve">              </w:t>
      </w:r>
      <w:r w:rsidR="00CE2C7F">
        <w:rPr>
          <w:rFonts w:eastAsia="Times New Roman"/>
          <w:bCs/>
          <w:sz w:val="24"/>
          <w:szCs w:val="24"/>
          <w:lang w:eastAsia="ja-JP"/>
        </w:rPr>
        <w:t xml:space="preserve">     </w:t>
      </w:r>
      <w:r w:rsidR="00CE2C7F" w:rsidRPr="00CE2C7F">
        <w:rPr>
          <w:rFonts w:eastAsia="Times New Roman"/>
          <w:bCs/>
          <w:sz w:val="24"/>
          <w:szCs w:val="24"/>
          <w:lang w:eastAsia="ja-JP"/>
        </w:rPr>
        <w:t>R2-1712867</w:t>
      </w:r>
    </w:p>
    <w:p w14:paraId="54A057F1" w14:textId="5AC49792" w:rsidR="00156A1A" w:rsidRDefault="00DE2BAC"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E2BAC">
        <w:rPr>
          <w:rFonts w:eastAsia="Times New Roman"/>
          <w:bCs/>
          <w:sz w:val="24"/>
          <w:szCs w:val="24"/>
          <w:lang w:eastAsia="ja-JP"/>
        </w:rPr>
        <w:t>Reno, Nevada, USA,</w:t>
      </w:r>
      <w:bookmarkStart w:id="1" w:name="_GoBack"/>
      <w:bookmarkEnd w:id="1"/>
      <w:r w:rsidRPr="00DE2BAC">
        <w:rPr>
          <w:rFonts w:eastAsia="Times New Roman"/>
          <w:bCs/>
          <w:sz w:val="24"/>
          <w:szCs w:val="24"/>
          <w:lang w:eastAsia="ja-JP"/>
        </w:rPr>
        <w:t xml:space="preserve"> 27th </w:t>
      </w:r>
      <w:r w:rsidR="00B21B56">
        <w:rPr>
          <w:rFonts w:eastAsia="新細明體" w:cs="Arial"/>
          <w:noProof w:val="0"/>
          <w:sz w:val="24"/>
          <w:szCs w:val="28"/>
          <w:lang w:val="en-US" w:eastAsia="zh-TW"/>
        </w:rPr>
        <w:t xml:space="preserve">November </w:t>
      </w:r>
      <w:r w:rsidRPr="00DE2BAC">
        <w:rPr>
          <w:rFonts w:eastAsia="Times New Roman"/>
          <w:bCs/>
          <w:sz w:val="24"/>
          <w:szCs w:val="24"/>
          <w:lang w:eastAsia="ja-JP"/>
        </w:rPr>
        <w:t>– 1st December 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502DDCF9"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0F42E4">
        <w:rPr>
          <w:b/>
          <w:noProof/>
          <w:sz w:val="24"/>
        </w:rPr>
        <w:t>4.1.5.3</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6230AD43"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A03E18">
        <w:rPr>
          <w:b/>
          <w:noProof/>
          <w:sz w:val="24"/>
        </w:rPr>
        <w:t>SCG Failure and S</w:t>
      </w:r>
      <w:r w:rsidR="00C42A67" w:rsidRPr="00C42A67">
        <w:rPr>
          <w:b/>
          <w:noProof/>
          <w:sz w:val="24"/>
        </w:rPr>
        <w:t>plit SRB</w:t>
      </w:r>
    </w:p>
    <w:bookmarkEnd w:id="2"/>
    <w:bookmarkEnd w:id="3"/>
    <w:p w14:paraId="4941605F" w14:textId="53BDC3BA"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0A2E2311" w:rsidR="00EF6D7A" w:rsidRDefault="00977AF4" w:rsidP="00977AF4">
      <w:pPr>
        <w:pStyle w:val="Doc-text2"/>
        <w:tabs>
          <w:tab w:val="left" w:pos="340"/>
        </w:tabs>
        <w:ind w:left="0" w:firstLine="0"/>
        <w:jc w:val="both"/>
      </w:pPr>
      <w:r>
        <w:t xml:space="preserve">In </w:t>
      </w:r>
      <w:r w:rsidR="00891B43">
        <w:t xml:space="preserve">the </w:t>
      </w:r>
      <w:r w:rsidR="00DA4AFC">
        <w:rPr>
          <w:rFonts w:cs="Arial"/>
        </w:rPr>
        <w:t>Qingdao</w:t>
      </w:r>
      <w:r w:rsidR="00DA4AFC">
        <w:t xml:space="preserve"> </w:t>
      </w:r>
      <w:r w:rsidR="00580DF2">
        <w:t xml:space="preserve">meetings, </w:t>
      </w:r>
      <w:r w:rsidR="003809E6">
        <w:t xml:space="preserve">RAN2 has </w:t>
      </w:r>
      <w:r w:rsidR="00657385">
        <w:t xml:space="preserve">the </w:t>
      </w:r>
      <w:r w:rsidR="008D0F6E">
        <w:t>following agreements related to UE behavior in SCG failure</w:t>
      </w:r>
      <w:r w:rsidR="00B87892">
        <w:t xml:space="preserve"> while split SRB is used.</w:t>
      </w:r>
    </w:p>
    <w:p w14:paraId="2796B8C5" w14:textId="77777777" w:rsidR="008135C8" w:rsidRDefault="008135C8" w:rsidP="008135C8">
      <w:pPr>
        <w:pStyle w:val="Doc-text2"/>
        <w:tabs>
          <w:tab w:val="left" w:pos="340"/>
        </w:tabs>
        <w:ind w:left="0" w:firstLine="0"/>
        <w:jc w:val="both"/>
      </w:pPr>
    </w:p>
    <w:p w14:paraId="112D9D8D" w14:textId="468E85A8" w:rsidR="0054336B" w:rsidRPr="00DA4AFC" w:rsidRDefault="008D0F6E" w:rsidP="00DA4AFC">
      <w:pPr>
        <w:pStyle w:val="Doc-text2"/>
        <w:pBdr>
          <w:top w:val="single" w:sz="4" w:space="1" w:color="auto"/>
          <w:left w:val="single" w:sz="4" w:space="4" w:color="auto"/>
          <w:bottom w:val="single" w:sz="4" w:space="1" w:color="auto"/>
          <w:right w:val="single" w:sz="4" w:space="4" w:color="auto"/>
        </w:pBdr>
        <w:spacing w:line="360" w:lineRule="auto"/>
        <w:rPr>
          <w:b/>
        </w:rPr>
      </w:pPr>
      <w:r w:rsidRPr="008D0F6E">
        <w:rPr>
          <w:b/>
        </w:rPr>
        <w:t>RAN2 NR-AdHoc #2</w:t>
      </w:r>
    </w:p>
    <w:p w14:paraId="38C11F57" w14:textId="36600BA0" w:rsidR="00DA4AFC" w:rsidRDefault="00DA4AFC" w:rsidP="00DA4AFC">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MN </w:t>
      </w:r>
      <w:r w:rsidRPr="00DA4AFC">
        <w:t>determines to use MCG duplication SRB and configures MCG duplication SRB by MN RRC signalling</w:t>
      </w:r>
    </w:p>
    <w:p w14:paraId="1DAAC0D5" w14:textId="5238B7CE" w:rsidR="00DA4AFC" w:rsidRDefault="00DA4AFC" w:rsidP="00DA4AFC">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DA4AFC">
        <w:t>For all DC cases (all MR-DC and NR-NR DC cases) for 'duplication SRB', UL packet transmission is configured by RRC to use MCG path, SCG path or duplicate on both MCG and SCG</w:t>
      </w:r>
    </w:p>
    <w:p w14:paraId="64F03326" w14:textId="45BF351A" w:rsidR="00DA4AFC" w:rsidRPr="00DA4AFC" w:rsidRDefault="00DA4AFC" w:rsidP="00DA4AFC">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DA4AFC">
        <w:rPr>
          <w:highlight w:val="yellow"/>
        </w:rPr>
        <w:t>FFS Behaviour in the case of SCG failure when SCG is the configured path</w:t>
      </w:r>
    </w:p>
    <w:p w14:paraId="0F08B9DD" w14:textId="77777777" w:rsidR="00891B43" w:rsidRDefault="00891B43" w:rsidP="008135C8">
      <w:pPr>
        <w:pStyle w:val="Doc-text2"/>
        <w:tabs>
          <w:tab w:val="left" w:pos="340"/>
        </w:tabs>
        <w:ind w:left="0" w:firstLine="0"/>
        <w:jc w:val="both"/>
      </w:pPr>
    </w:p>
    <w:p w14:paraId="47837CF4" w14:textId="0BF938E9" w:rsidR="00842B3E" w:rsidRDefault="00B87892" w:rsidP="008135C8">
      <w:pPr>
        <w:pStyle w:val="Doc-text2"/>
        <w:tabs>
          <w:tab w:val="left" w:pos="340"/>
        </w:tabs>
        <w:ind w:left="0" w:firstLine="0"/>
        <w:jc w:val="both"/>
      </w:pPr>
      <w:r>
        <w:t>As RAN2 already have 1</w:t>
      </w:r>
      <w:r w:rsidRPr="00B87892">
        <w:rPr>
          <w:vertAlign w:val="superscript"/>
        </w:rPr>
        <w:t>st</w:t>
      </w:r>
      <w:r>
        <w:t xml:space="preserve"> endorsed TP on SCG Failure [1], we think the above FFS point should be finalized </w:t>
      </w:r>
      <w:r w:rsidR="00A44BF8">
        <w:t>and</w:t>
      </w:r>
      <w:r>
        <w:t xml:space="preserve"> captured in the TP. In this paper, w</w:t>
      </w:r>
      <w:r w:rsidR="005667C5">
        <w:t xml:space="preserve">e are going to discuss </w:t>
      </w:r>
      <w:r>
        <w:t>different solutions for this scenario.</w:t>
      </w:r>
    </w:p>
    <w:p w14:paraId="0EE4BADE" w14:textId="77777777" w:rsidR="00842B3E" w:rsidRDefault="00842B3E" w:rsidP="008135C8">
      <w:pPr>
        <w:pStyle w:val="Doc-text2"/>
        <w:tabs>
          <w:tab w:val="left" w:pos="340"/>
        </w:tabs>
        <w:ind w:left="0" w:firstLine="0"/>
        <w:jc w:val="both"/>
      </w:pPr>
    </w:p>
    <w:p w14:paraId="0D7EF545" w14:textId="702923DB" w:rsidR="00053DBC" w:rsidRPr="007B7D45" w:rsidRDefault="00CC3365" w:rsidP="007B7D45">
      <w:pPr>
        <w:pStyle w:val="Heading1"/>
        <w:rPr>
          <w:lang w:val="en-US" w:eastAsia="ko-KR"/>
        </w:rPr>
      </w:pPr>
      <w:r>
        <w:rPr>
          <w:lang w:val="en-US" w:eastAsia="ko-KR"/>
        </w:rPr>
        <w:t xml:space="preserve">2 </w:t>
      </w:r>
      <w:r w:rsidR="00A161E6">
        <w:rPr>
          <w:lang w:val="en-US" w:eastAsia="ko-KR"/>
        </w:rPr>
        <w:t>Discussion</w:t>
      </w:r>
    </w:p>
    <w:p w14:paraId="46FEE36A" w14:textId="11019CE3" w:rsidR="00CE45E9" w:rsidRDefault="00FF46D5" w:rsidP="0067010A">
      <w:pPr>
        <w:pStyle w:val="Doc-text2"/>
        <w:tabs>
          <w:tab w:val="left" w:pos="340"/>
        </w:tabs>
        <w:ind w:left="0" w:firstLine="0"/>
        <w:jc w:val="both"/>
        <w:rPr>
          <w:rFonts w:cs="Arial"/>
          <w:lang w:val="en-GB"/>
        </w:rPr>
      </w:pPr>
      <w:r>
        <w:rPr>
          <w:rFonts w:cs="Arial"/>
          <w:lang w:val="en-GB"/>
        </w:rPr>
        <w:t xml:space="preserve">In EN-DC, the UE behaviour upon SCG failure follow the same principle in LTE-DC; it will basically suspend SCG leg and send </w:t>
      </w:r>
      <w:r w:rsidR="00CF3756" w:rsidRPr="00CF3756">
        <w:rPr>
          <w:rFonts w:cs="Arial"/>
          <w:i/>
          <w:lang w:val="en-GB"/>
        </w:rPr>
        <w:t>SCGFailureInformation</w:t>
      </w:r>
      <w:r w:rsidR="00CF3756" w:rsidRPr="00CF3756">
        <w:rPr>
          <w:rFonts w:cs="Arial"/>
          <w:lang w:val="en-GB"/>
        </w:rPr>
        <w:t xml:space="preserve"> </w:t>
      </w:r>
      <w:r>
        <w:rPr>
          <w:rFonts w:cs="Arial"/>
          <w:lang w:val="en-GB"/>
        </w:rPr>
        <w:t>via MCG leg</w:t>
      </w:r>
      <w:r w:rsidR="00B22857">
        <w:rPr>
          <w:rFonts w:cs="Arial"/>
          <w:lang w:val="en-GB"/>
        </w:rPr>
        <w:t xml:space="preserve"> (using SRB1)</w:t>
      </w:r>
      <w:r>
        <w:rPr>
          <w:rFonts w:cs="Arial"/>
          <w:lang w:val="en-GB"/>
        </w:rPr>
        <w:t xml:space="preserve">. Due to the </w:t>
      </w:r>
      <w:r w:rsidR="00B22857">
        <w:rPr>
          <w:rFonts w:cs="Arial"/>
          <w:lang w:val="en-GB"/>
        </w:rPr>
        <w:t>present</w:t>
      </w:r>
      <w:r>
        <w:rPr>
          <w:rFonts w:cs="Arial"/>
          <w:lang w:val="en-GB"/>
        </w:rPr>
        <w:t xml:space="preserve"> of split SRB in EN-DC, the UL path of split SRB1 could be via-MCG, via-SCG, or both. </w:t>
      </w:r>
      <w:r w:rsidR="00B22857">
        <w:rPr>
          <w:rFonts w:cs="Arial"/>
          <w:lang w:val="en-GB"/>
        </w:rPr>
        <w:t xml:space="preserve">If </w:t>
      </w:r>
      <w:r>
        <w:rPr>
          <w:rFonts w:cs="Arial"/>
          <w:lang w:val="en-GB"/>
        </w:rPr>
        <w:t xml:space="preserve">SCG is the only </w:t>
      </w:r>
      <w:r w:rsidR="00B22857">
        <w:rPr>
          <w:rFonts w:cs="Arial"/>
          <w:lang w:val="en-GB"/>
        </w:rPr>
        <w:t xml:space="preserve">configured path </w:t>
      </w:r>
      <w:r w:rsidR="00CF3756">
        <w:rPr>
          <w:rFonts w:cs="Arial"/>
          <w:lang w:val="en-GB"/>
        </w:rPr>
        <w:t xml:space="preserve">for split SRB1, UE cannot send </w:t>
      </w:r>
      <w:r w:rsidR="009B5965">
        <w:rPr>
          <w:rFonts w:cs="Arial"/>
          <w:lang w:val="en-GB"/>
        </w:rPr>
        <w:t>the failure</w:t>
      </w:r>
      <w:r w:rsidR="00CF3756">
        <w:rPr>
          <w:rFonts w:cs="Arial"/>
          <w:lang w:val="en-GB"/>
        </w:rPr>
        <w:t xml:space="preserve"> message </w:t>
      </w:r>
      <w:r w:rsidR="00B70C78">
        <w:rPr>
          <w:rFonts w:cs="Arial"/>
          <w:lang w:val="en-GB"/>
        </w:rPr>
        <w:t xml:space="preserve">upon SCG failure since the </w:t>
      </w:r>
      <w:r w:rsidR="00CF3756">
        <w:rPr>
          <w:rFonts w:cs="Arial"/>
          <w:lang w:val="en-GB"/>
        </w:rPr>
        <w:t xml:space="preserve">SCG path is suspend. </w:t>
      </w:r>
    </w:p>
    <w:p w14:paraId="6986616F" w14:textId="77777777" w:rsidR="00CF3756" w:rsidRDefault="00CF3756" w:rsidP="0067010A">
      <w:pPr>
        <w:pStyle w:val="Doc-text2"/>
        <w:tabs>
          <w:tab w:val="left" w:pos="340"/>
        </w:tabs>
        <w:ind w:left="0" w:firstLine="0"/>
        <w:jc w:val="both"/>
        <w:rPr>
          <w:rFonts w:cs="Arial"/>
          <w:lang w:val="en-GB"/>
        </w:rPr>
      </w:pPr>
    </w:p>
    <w:p w14:paraId="1F564BDD" w14:textId="77777777" w:rsidR="00CF3756" w:rsidRDefault="00CF3756" w:rsidP="0067010A">
      <w:pPr>
        <w:pStyle w:val="Doc-text2"/>
        <w:tabs>
          <w:tab w:val="left" w:pos="340"/>
        </w:tabs>
        <w:ind w:left="0" w:firstLine="0"/>
        <w:jc w:val="both"/>
        <w:rPr>
          <w:rFonts w:cs="Arial"/>
          <w:lang w:val="en-GB"/>
        </w:rPr>
      </w:pPr>
      <w:r>
        <w:rPr>
          <w:rFonts w:cs="Arial"/>
          <w:lang w:val="en-GB"/>
        </w:rPr>
        <w:t xml:space="preserve">To solve this problem, 3 options are proposed. </w:t>
      </w:r>
    </w:p>
    <w:p w14:paraId="19120D34" w14:textId="77777777" w:rsidR="00CF3756" w:rsidRPr="00CF3756" w:rsidRDefault="00657385" w:rsidP="0067010A">
      <w:pPr>
        <w:pStyle w:val="Doc-text2"/>
        <w:numPr>
          <w:ilvl w:val="0"/>
          <w:numId w:val="23"/>
        </w:numPr>
        <w:tabs>
          <w:tab w:val="left" w:pos="340"/>
        </w:tabs>
        <w:jc w:val="both"/>
        <w:rPr>
          <w:rFonts w:cs="Arial"/>
          <w:lang w:val="en-GB"/>
        </w:rPr>
      </w:pPr>
      <w:r>
        <w:rPr>
          <w:rFonts w:eastAsia="SimSun" w:cs="Arial"/>
          <w:lang w:eastAsia="zh-CN"/>
        </w:rPr>
        <w:t xml:space="preserve">Option 1: </w:t>
      </w:r>
      <w:r w:rsidR="008D0F6E" w:rsidRPr="008D0F6E">
        <w:rPr>
          <w:rFonts w:eastAsia="SimSun" w:cs="Arial"/>
          <w:lang w:val="en-GB" w:eastAsia="zh-CN"/>
        </w:rPr>
        <w:t>SRB transmission only on the SCG path is not supported</w:t>
      </w:r>
    </w:p>
    <w:p w14:paraId="7DB6CF0B" w14:textId="6FE86502" w:rsidR="00CF3756" w:rsidRPr="00CF3756" w:rsidRDefault="00657385" w:rsidP="0067010A">
      <w:pPr>
        <w:pStyle w:val="Doc-text2"/>
        <w:numPr>
          <w:ilvl w:val="0"/>
          <w:numId w:val="23"/>
        </w:numPr>
        <w:tabs>
          <w:tab w:val="left" w:pos="340"/>
        </w:tabs>
        <w:jc w:val="both"/>
        <w:rPr>
          <w:rFonts w:cs="Arial"/>
          <w:lang w:val="en-GB"/>
        </w:rPr>
      </w:pPr>
      <w:r w:rsidRPr="00CF3756">
        <w:rPr>
          <w:rFonts w:eastAsia="SimSun" w:cs="Arial"/>
          <w:lang w:eastAsia="zh-CN"/>
        </w:rPr>
        <w:t>Option 2</w:t>
      </w:r>
      <w:r w:rsidR="00BB46F8" w:rsidRPr="00CF3756">
        <w:rPr>
          <w:rFonts w:eastAsia="SimSun" w:cs="Arial"/>
          <w:lang w:eastAsia="zh-CN"/>
        </w:rPr>
        <w:t xml:space="preserve">: UE </w:t>
      </w:r>
      <w:r w:rsidR="00BB46F8" w:rsidRPr="00CF3756">
        <w:rPr>
          <w:rFonts w:cs="Arial"/>
          <w:lang w:eastAsia="zh-CN"/>
        </w:rPr>
        <w:t>trigger RRC connection re-establishment procedures</w:t>
      </w:r>
    </w:p>
    <w:p w14:paraId="33A63128" w14:textId="6931DB25" w:rsidR="00BB46F8" w:rsidRPr="00CF3756" w:rsidRDefault="00BB46F8" w:rsidP="0067010A">
      <w:pPr>
        <w:pStyle w:val="Doc-text2"/>
        <w:numPr>
          <w:ilvl w:val="0"/>
          <w:numId w:val="23"/>
        </w:numPr>
        <w:tabs>
          <w:tab w:val="left" w:pos="340"/>
        </w:tabs>
        <w:jc w:val="both"/>
        <w:rPr>
          <w:rFonts w:cs="Arial"/>
          <w:lang w:val="en-GB"/>
        </w:rPr>
      </w:pPr>
      <w:r w:rsidRPr="00CF3756">
        <w:rPr>
          <w:rFonts w:eastAsia="SimSun" w:cs="Arial"/>
          <w:lang w:eastAsia="zh-CN"/>
        </w:rPr>
        <w:t xml:space="preserve">Option </w:t>
      </w:r>
      <w:r w:rsidR="00FB3473" w:rsidRPr="00CF3756">
        <w:rPr>
          <w:rFonts w:eastAsia="SimSun" w:cs="Arial"/>
          <w:lang w:eastAsia="zh-CN"/>
        </w:rPr>
        <w:t>3</w:t>
      </w:r>
      <w:r w:rsidRPr="00CF3756">
        <w:rPr>
          <w:rFonts w:eastAsia="SimSun" w:cs="Arial"/>
          <w:lang w:eastAsia="zh-CN"/>
        </w:rPr>
        <w:t xml:space="preserve">: UE autonomously switch the </w:t>
      </w:r>
      <w:r w:rsidR="00DA4AFC" w:rsidRPr="00CF3756">
        <w:rPr>
          <w:rFonts w:eastAsia="SimSun" w:cs="Arial"/>
          <w:lang w:eastAsia="zh-CN"/>
        </w:rPr>
        <w:t>UL path of split SRB1</w:t>
      </w:r>
      <w:r w:rsidRPr="00CF3756">
        <w:rPr>
          <w:rFonts w:eastAsia="SimSun" w:cs="Arial"/>
          <w:lang w:eastAsia="zh-CN"/>
        </w:rPr>
        <w:t xml:space="preserve"> to </w:t>
      </w:r>
      <w:r w:rsidR="00FB3473" w:rsidRPr="00CF3756">
        <w:rPr>
          <w:rFonts w:eastAsia="SimSun" w:cs="Arial"/>
          <w:lang w:eastAsia="zh-CN"/>
        </w:rPr>
        <w:t>the MCG leg</w:t>
      </w:r>
    </w:p>
    <w:p w14:paraId="38B107EA" w14:textId="77777777" w:rsidR="00CF3756" w:rsidRDefault="00CF3756" w:rsidP="0067010A">
      <w:pPr>
        <w:spacing w:after="0"/>
        <w:jc w:val="both"/>
        <w:rPr>
          <w:rFonts w:ascii="Arial" w:eastAsia="SimSun" w:hAnsi="Arial" w:cs="Arial"/>
          <w:szCs w:val="24"/>
          <w:lang w:val="en-US" w:eastAsia="zh-CN"/>
        </w:rPr>
      </w:pPr>
    </w:p>
    <w:p w14:paraId="6956DD52" w14:textId="6F294586" w:rsidR="000F42E4" w:rsidRDefault="00471C57" w:rsidP="0067010A">
      <w:pPr>
        <w:spacing w:after="0"/>
        <w:jc w:val="both"/>
        <w:rPr>
          <w:rFonts w:ascii="Arial" w:eastAsia="SimSun" w:hAnsi="Arial" w:cs="Arial"/>
          <w:szCs w:val="24"/>
          <w:lang w:val="en-US" w:eastAsia="zh-CN"/>
        </w:rPr>
      </w:pPr>
      <w:r>
        <w:rPr>
          <w:rFonts w:ascii="Arial" w:eastAsia="SimSun" w:hAnsi="Arial" w:cs="Arial"/>
          <w:szCs w:val="24"/>
          <w:lang w:val="en-US" w:eastAsia="zh-CN"/>
        </w:rPr>
        <w:t xml:space="preserve">The UE </w:t>
      </w:r>
      <w:r w:rsidRPr="00BB46F8">
        <w:rPr>
          <w:rFonts w:ascii="Arial" w:eastAsia="SimSun" w:hAnsi="Arial" w:cs="Arial"/>
          <w:szCs w:val="24"/>
          <w:lang w:val="en-US" w:eastAsia="zh-CN"/>
        </w:rPr>
        <w:t>autonomous behavior</w:t>
      </w:r>
      <w:r>
        <w:rPr>
          <w:rFonts w:ascii="Arial" w:eastAsia="SimSun" w:hAnsi="Arial" w:cs="Arial"/>
          <w:szCs w:val="24"/>
          <w:lang w:val="en-US" w:eastAsia="zh-CN"/>
        </w:rPr>
        <w:t xml:space="preserve"> in option 3 </w:t>
      </w:r>
      <w:r w:rsidR="00FB34BA">
        <w:rPr>
          <w:rFonts w:ascii="Arial" w:eastAsia="SimSun" w:hAnsi="Arial" w:cs="Arial"/>
          <w:szCs w:val="24"/>
          <w:lang w:val="en-US" w:eastAsia="zh-CN"/>
        </w:rPr>
        <w:t>is not prefer</w:t>
      </w:r>
      <w:r w:rsidR="009B5965">
        <w:rPr>
          <w:rFonts w:ascii="Arial" w:eastAsia="SimSun" w:hAnsi="Arial" w:cs="Arial"/>
          <w:szCs w:val="24"/>
          <w:lang w:val="en-US" w:eastAsia="zh-CN"/>
        </w:rPr>
        <w:t>.</w:t>
      </w:r>
      <w:r w:rsidR="00FB34BA">
        <w:rPr>
          <w:rFonts w:ascii="Arial" w:eastAsia="SimSun" w:hAnsi="Arial" w:cs="Arial"/>
          <w:szCs w:val="24"/>
          <w:lang w:val="en-US" w:eastAsia="zh-CN"/>
        </w:rPr>
        <w:t xml:space="preserve"> We should to avoid this kind of behavior unless it is really necessary. </w:t>
      </w:r>
      <w:r w:rsidR="00016E5D">
        <w:rPr>
          <w:rFonts w:ascii="Arial" w:eastAsia="SimSun" w:hAnsi="Arial" w:cs="Arial"/>
          <w:szCs w:val="24"/>
          <w:lang w:val="en-US" w:eastAsia="zh-CN"/>
        </w:rPr>
        <w:t>Option 1 is a simple and acceptable sol</w:t>
      </w:r>
      <w:r w:rsidR="00063CC6">
        <w:rPr>
          <w:rFonts w:ascii="Arial" w:eastAsia="SimSun" w:hAnsi="Arial" w:cs="Arial"/>
          <w:szCs w:val="24"/>
          <w:lang w:val="en-US" w:eastAsia="zh-CN"/>
        </w:rPr>
        <w:t xml:space="preserve">ution but the PDCP configuration signalling for split SRB and split DRB could not be harmonized in this solution. </w:t>
      </w:r>
      <w:r w:rsidR="0047366A">
        <w:rPr>
          <w:rFonts w:ascii="Arial" w:eastAsia="SimSun" w:hAnsi="Arial" w:cs="Arial"/>
          <w:szCs w:val="24"/>
          <w:lang w:val="en-US" w:eastAsia="zh-CN"/>
        </w:rPr>
        <w:t>Considering that this should be rare situation, we think follow LTE general error handling procedure (trigger re-establishment) is enough. W</w:t>
      </w:r>
      <w:r w:rsidR="00016E5D">
        <w:rPr>
          <w:rFonts w:ascii="Arial" w:eastAsia="SimSun" w:hAnsi="Arial" w:cs="Arial"/>
          <w:szCs w:val="24"/>
          <w:lang w:val="en-US" w:eastAsia="zh-CN"/>
        </w:rPr>
        <w:t xml:space="preserve">e </w:t>
      </w:r>
      <w:r w:rsidR="0047366A">
        <w:rPr>
          <w:rFonts w:ascii="Arial" w:eastAsia="SimSun" w:hAnsi="Arial" w:cs="Arial"/>
          <w:szCs w:val="24"/>
          <w:lang w:val="en-US" w:eastAsia="zh-CN"/>
        </w:rPr>
        <w:t xml:space="preserve">propose to use </w:t>
      </w:r>
      <w:r w:rsidR="00016E5D">
        <w:rPr>
          <w:rFonts w:ascii="Arial" w:eastAsia="SimSun" w:hAnsi="Arial" w:cs="Arial"/>
          <w:szCs w:val="24"/>
          <w:lang w:val="en-US" w:eastAsia="zh-CN"/>
        </w:rPr>
        <w:t xml:space="preserve">option 2 </w:t>
      </w:r>
      <w:r w:rsidR="0047366A">
        <w:rPr>
          <w:rFonts w:ascii="Arial" w:eastAsia="SimSun" w:hAnsi="Arial" w:cs="Arial"/>
          <w:szCs w:val="24"/>
          <w:lang w:val="en-US" w:eastAsia="zh-CN"/>
        </w:rPr>
        <w:t>to solve this problem.</w:t>
      </w:r>
    </w:p>
    <w:p w14:paraId="284446C6" w14:textId="77777777" w:rsidR="00016E5D" w:rsidRPr="00016E5D" w:rsidRDefault="00016E5D" w:rsidP="0067010A">
      <w:pPr>
        <w:spacing w:after="0"/>
        <w:jc w:val="both"/>
        <w:rPr>
          <w:rFonts w:ascii="Arial" w:eastAsia="SimSun" w:hAnsi="Arial" w:cs="Arial"/>
          <w:szCs w:val="24"/>
          <w:lang w:val="en-US" w:eastAsia="zh-CN"/>
        </w:rPr>
      </w:pPr>
    </w:p>
    <w:p w14:paraId="3FA01830" w14:textId="759E5F26" w:rsidR="0046131B" w:rsidRDefault="0046131B" w:rsidP="0067010A">
      <w:pPr>
        <w:pStyle w:val="Doc-text2"/>
        <w:tabs>
          <w:tab w:val="left" w:pos="340"/>
        </w:tabs>
        <w:ind w:left="0" w:firstLine="0"/>
        <w:jc w:val="both"/>
        <w:rPr>
          <w:b/>
        </w:rPr>
      </w:pPr>
      <w:r w:rsidRPr="00B9627E">
        <w:rPr>
          <w:b/>
        </w:rPr>
        <w:t>Proposal</w:t>
      </w:r>
      <w:r w:rsidR="005667C5">
        <w:rPr>
          <w:b/>
        </w:rPr>
        <w:t xml:space="preserve"> 1</w:t>
      </w:r>
      <w:r>
        <w:rPr>
          <w:b/>
        </w:rPr>
        <w:t xml:space="preserve">: </w:t>
      </w:r>
      <w:r w:rsidR="00D65E85">
        <w:rPr>
          <w:b/>
        </w:rPr>
        <w:t xml:space="preserve">In EN-DC, </w:t>
      </w:r>
      <w:r w:rsidR="00FB3473" w:rsidRPr="00FB3473">
        <w:rPr>
          <w:b/>
          <w:lang w:val="en-GB"/>
        </w:rPr>
        <w:t xml:space="preserve">UE shall trigger </w:t>
      </w:r>
      <w:r w:rsidR="00FF0FCC">
        <w:rPr>
          <w:b/>
          <w:lang w:val="en-GB"/>
        </w:rPr>
        <w:t xml:space="preserve">LTE </w:t>
      </w:r>
      <w:r w:rsidR="00FB3473" w:rsidRPr="00FB3473">
        <w:rPr>
          <w:b/>
          <w:lang w:val="en-GB"/>
        </w:rPr>
        <w:t>RRC connec</w:t>
      </w:r>
      <w:r w:rsidR="00FF0FCC">
        <w:rPr>
          <w:b/>
          <w:lang w:val="en-GB"/>
        </w:rPr>
        <w:t xml:space="preserve">tion re-establishment procedure upon SCG failure if SCG leg </w:t>
      </w:r>
      <w:r w:rsidR="00FF0FCC" w:rsidRPr="00FB3473">
        <w:rPr>
          <w:b/>
          <w:lang w:val="en-GB"/>
        </w:rPr>
        <w:t xml:space="preserve">is the only configured UL </w:t>
      </w:r>
      <w:r w:rsidR="00FF0FCC">
        <w:rPr>
          <w:b/>
          <w:lang w:val="en-GB"/>
        </w:rPr>
        <w:t xml:space="preserve">path </w:t>
      </w:r>
      <w:r w:rsidR="00EA20F3">
        <w:rPr>
          <w:b/>
          <w:lang w:val="en-GB"/>
        </w:rPr>
        <w:t xml:space="preserve">for </w:t>
      </w:r>
      <w:r w:rsidR="00FF0FCC" w:rsidRPr="00FB3473">
        <w:rPr>
          <w:b/>
          <w:lang w:val="en-GB"/>
        </w:rPr>
        <w:t xml:space="preserve">split </w:t>
      </w:r>
      <w:r w:rsidR="00FF0FCC">
        <w:rPr>
          <w:b/>
          <w:lang w:val="en-GB"/>
        </w:rPr>
        <w:t>SRB1.</w:t>
      </w:r>
    </w:p>
    <w:p w14:paraId="6C0F7B0D" w14:textId="77777777" w:rsidR="00EF20EF" w:rsidRDefault="00EF20EF" w:rsidP="0067010A">
      <w:pPr>
        <w:pStyle w:val="Doc-text2"/>
        <w:tabs>
          <w:tab w:val="left" w:pos="340"/>
        </w:tabs>
        <w:ind w:left="0" w:firstLine="0"/>
        <w:jc w:val="both"/>
      </w:pPr>
    </w:p>
    <w:p w14:paraId="29D7DABD" w14:textId="0BE666EF" w:rsidR="005753EE" w:rsidRDefault="00AD4624" w:rsidP="0067010A">
      <w:pPr>
        <w:pStyle w:val="Doc-text2"/>
        <w:tabs>
          <w:tab w:val="left" w:pos="340"/>
        </w:tabs>
        <w:ind w:left="0" w:firstLine="0"/>
        <w:jc w:val="both"/>
      </w:pPr>
      <w:r>
        <w:t>The modification in 38.331 to capture this proposal is provided in Ann</w:t>
      </w:r>
      <w:r w:rsidR="00471C57">
        <w:t>ex. T</w:t>
      </w:r>
      <w:r>
        <w:t>he detail wording could be discussed</w:t>
      </w:r>
      <w:r w:rsidR="005F6226">
        <w:t xml:space="preserve"> while the proposal is adopted.</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C4A9C38" w14:textId="77777777" w:rsidR="00400BDC" w:rsidRDefault="00400BDC" w:rsidP="00EF22C6">
      <w:pPr>
        <w:pStyle w:val="Doc-text2"/>
        <w:tabs>
          <w:tab w:val="left" w:pos="340"/>
        </w:tabs>
        <w:ind w:left="0" w:firstLine="0"/>
        <w:jc w:val="both"/>
        <w:rPr>
          <w:b/>
          <w:lang w:val="en-GB"/>
        </w:rPr>
      </w:pPr>
    </w:p>
    <w:p w14:paraId="795BC1B9" w14:textId="5CB6EB5F" w:rsidR="00400BDC" w:rsidRDefault="00FF0FCC" w:rsidP="00400BDC">
      <w:pPr>
        <w:pStyle w:val="Doc-text2"/>
        <w:tabs>
          <w:tab w:val="left" w:pos="340"/>
        </w:tabs>
        <w:ind w:left="0" w:firstLine="0"/>
        <w:jc w:val="both"/>
        <w:rPr>
          <w:b/>
        </w:rPr>
      </w:pPr>
      <w:r w:rsidRPr="00B9627E">
        <w:rPr>
          <w:b/>
        </w:rPr>
        <w:t>Proposal</w:t>
      </w:r>
      <w:r>
        <w:rPr>
          <w:b/>
        </w:rPr>
        <w:t xml:space="preserve"> 1: In EN-DC, </w:t>
      </w:r>
      <w:r w:rsidRPr="00FB3473">
        <w:rPr>
          <w:b/>
          <w:lang w:val="en-GB"/>
        </w:rPr>
        <w:t xml:space="preserve">UE shall trigger </w:t>
      </w:r>
      <w:r>
        <w:rPr>
          <w:b/>
          <w:lang w:val="en-GB"/>
        </w:rPr>
        <w:t xml:space="preserve">LTE </w:t>
      </w:r>
      <w:r w:rsidRPr="00FB3473">
        <w:rPr>
          <w:b/>
          <w:lang w:val="en-GB"/>
        </w:rPr>
        <w:t>RRC connec</w:t>
      </w:r>
      <w:r>
        <w:rPr>
          <w:b/>
          <w:lang w:val="en-GB"/>
        </w:rPr>
        <w:t xml:space="preserve">tion re-establishment procedure upon SCG failure if SCG leg </w:t>
      </w:r>
      <w:r w:rsidRPr="00FB3473">
        <w:rPr>
          <w:b/>
          <w:lang w:val="en-GB"/>
        </w:rPr>
        <w:t xml:space="preserve">is the only configured UL </w:t>
      </w:r>
      <w:r w:rsidR="00EA20F3">
        <w:rPr>
          <w:b/>
          <w:lang w:val="en-GB"/>
        </w:rPr>
        <w:t>path for</w:t>
      </w:r>
      <w:r w:rsidRPr="00FB3473">
        <w:rPr>
          <w:b/>
          <w:lang w:val="en-GB"/>
        </w:rPr>
        <w:t xml:space="preserve"> split </w:t>
      </w:r>
      <w:r>
        <w:rPr>
          <w:b/>
          <w:lang w:val="en-GB"/>
        </w:rPr>
        <w:t>SRB1</w:t>
      </w:r>
      <w:r w:rsidR="00400BDC">
        <w:rPr>
          <w:b/>
          <w:lang w:val="en-GB"/>
        </w:rPr>
        <w:t xml:space="preserve">. </w:t>
      </w:r>
    </w:p>
    <w:p w14:paraId="58948F65" w14:textId="77777777" w:rsidR="00400BDC" w:rsidRPr="00400BDC" w:rsidRDefault="00400BDC" w:rsidP="00EF22C6">
      <w:pPr>
        <w:pStyle w:val="Doc-text2"/>
        <w:tabs>
          <w:tab w:val="left" w:pos="340"/>
        </w:tabs>
        <w:ind w:left="0" w:firstLine="0"/>
        <w:jc w:val="both"/>
        <w:rPr>
          <w:b/>
          <w:lang w:val="en-GB"/>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0B2CB1AF" w14:textId="59FF2718" w:rsidR="00B01312" w:rsidRDefault="00A979AD" w:rsidP="00D11264">
      <w:pPr>
        <w:spacing w:after="60"/>
        <w:rPr>
          <w:rFonts w:ascii="Arial" w:hAnsi="Arial" w:cs="Arial"/>
          <w:lang w:eastAsia="ko-KR"/>
        </w:rPr>
      </w:pPr>
      <w:r>
        <w:rPr>
          <w:rFonts w:ascii="Arial" w:hAnsi="Arial" w:cs="Arial"/>
          <w:lang w:eastAsia="ko-KR"/>
        </w:rPr>
        <w:t xml:space="preserve">[1] </w:t>
      </w:r>
      <w:r w:rsidR="00023366" w:rsidRPr="00023366">
        <w:rPr>
          <w:rFonts w:ascii="Arial" w:hAnsi="Arial" w:cs="Arial"/>
          <w:lang w:eastAsia="ko-KR"/>
        </w:rPr>
        <w:t>R2-1712062</w:t>
      </w:r>
      <w:r w:rsidR="00874924">
        <w:rPr>
          <w:rFonts w:ascii="Arial" w:hAnsi="Arial" w:cs="Arial"/>
          <w:lang w:eastAsia="ko-KR"/>
        </w:rPr>
        <w:t>, “</w:t>
      </w:r>
      <w:r w:rsidR="00023366" w:rsidRPr="00023366">
        <w:rPr>
          <w:rFonts w:ascii="Arial" w:hAnsi="Arial" w:cs="Arial"/>
          <w:lang w:eastAsia="ko-KR"/>
        </w:rPr>
        <w:t>TP to support SCG Failure in EN-DC</w:t>
      </w:r>
      <w:r w:rsidR="00874924">
        <w:rPr>
          <w:rFonts w:ascii="Arial" w:hAnsi="Arial" w:cs="Arial"/>
          <w:lang w:eastAsia="ko-KR"/>
        </w:rPr>
        <w:t>”</w:t>
      </w:r>
      <w:r w:rsidR="00023366">
        <w:rPr>
          <w:rFonts w:ascii="Arial" w:hAnsi="Arial" w:cs="Arial"/>
          <w:lang w:eastAsia="ko-KR"/>
        </w:rPr>
        <w:t xml:space="preserve">, </w:t>
      </w:r>
      <w:r w:rsidR="00023366" w:rsidRPr="00023366">
        <w:rPr>
          <w:rFonts w:ascii="Arial" w:hAnsi="Arial" w:cs="Arial"/>
          <w:lang w:eastAsia="ko-KR"/>
        </w:rPr>
        <w:t>MediaTek</w:t>
      </w:r>
    </w:p>
    <w:p w14:paraId="2AC9CF9D" w14:textId="192E0234" w:rsidR="006949F5" w:rsidRDefault="006949F5">
      <w:pPr>
        <w:spacing w:after="0"/>
        <w:rPr>
          <w:rFonts w:ascii="Arial" w:hAnsi="Arial" w:cs="Arial"/>
          <w:lang w:eastAsia="ko-KR"/>
        </w:rPr>
      </w:pPr>
      <w:r>
        <w:rPr>
          <w:rFonts w:ascii="Arial" w:hAnsi="Arial" w:cs="Arial"/>
          <w:lang w:eastAsia="ko-KR"/>
        </w:rPr>
        <w:br w:type="page"/>
      </w:r>
    </w:p>
    <w:p w14:paraId="15174F39" w14:textId="77777777" w:rsidR="004D3052" w:rsidRDefault="004D3052" w:rsidP="00D11264">
      <w:pPr>
        <w:spacing w:after="60"/>
        <w:rPr>
          <w:rFonts w:ascii="Arial" w:hAnsi="Arial" w:cs="Arial"/>
          <w:lang w:eastAsia="ko-KR"/>
        </w:rPr>
      </w:pPr>
    </w:p>
    <w:p w14:paraId="0C15D49E" w14:textId="5EE61467" w:rsidR="004D3052" w:rsidRDefault="004D3052" w:rsidP="004D3052">
      <w:pPr>
        <w:pStyle w:val="Heading1"/>
        <w:pBdr>
          <w:top w:val="single" w:sz="12" w:space="0" w:color="auto"/>
        </w:pBdr>
        <w:rPr>
          <w:lang w:val="en-US" w:eastAsia="ko-KR"/>
        </w:rPr>
      </w:pPr>
      <w:r>
        <w:rPr>
          <w:lang w:val="en-US" w:eastAsia="ko-KR"/>
        </w:rPr>
        <w:t>Annex:</w:t>
      </w:r>
      <w:r w:rsidR="00174151">
        <w:rPr>
          <w:lang w:val="en-US" w:eastAsia="ko-KR"/>
        </w:rPr>
        <w:t xml:space="preserve"> Text P</w:t>
      </w:r>
      <w:r>
        <w:rPr>
          <w:lang w:val="en-US" w:eastAsia="ko-KR"/>
        </w:rPr>
        <w:t>roposal in 38.331</w:t>
      </w:r>
    </w:p>
    <w:p w14:paraId="74DE5C14" w14:textId="0F345FCC" w:rsidR="004D3052" w:rsidRPr="004D3052" w:rsidRDefault="004D3052" w:rsidP="004D3052">
      <w:pPr>
        <w:rPr>
          <w:lang w:val="en-US" w:eastAsia="ko-KR"/>
        </w:rPr>
      </w:pPr>
    </w:p>
    <w:p w14:paraId="5D11A3C4" w14:textId="77777777" w:rsidR="00B86B7D" w:rsidRDefault="00B86B7D" w:rsidP="00B86B7D">
      <w:pPr>
        <w:pStyle w:val="Heading3"/>
      </w:pPr>
      <w:bookmarkStart w:id="4" w:name="_Toc491180882"/>
      <w:bookmarkStart w:id="5" w:name="_Toc493510583"/>
      <w:r w:rsidRPr="00D05729">
        <w:rPr>
          <w:lang w:eastAsia="zh-CN"/>
        </w:rPr>
        <w:t>5.</w:t>
      </w:r>
      <w:r>
        <w:rPr>
          <w:lang w:eastAsia="zh-CN"/>
        </w:rPr>
        <w:t>7</w:t>
      </w:r>
      <w:r w:rsidRPr="00D05729">
        <w:rPr>
          <w:lang w:eastAsia="zh-CN"/>
        </w:rPr>
        <w:t>.</w:t>
      </w:r>
      <w:r>
        <w:rPr>
          <w:lang w:eastAsia="zh-CN"/>
        </w:rPr>
        <w:t>3</w:t>
      </w:r>
      <w:r w:rsidRPr="00D05729">
        <w:rPr>
          <w:lang w:eastAsia="zh-CN"/>
        </w:rPr>
        <w:tab/>
      </w:r>
      <w:r w:rsidRPr="002213D7">
        <w:t xml:space="preserve">SCG </w:t>
      </w:r>
      <w:r>
        <w:t>f</w:t>
      </w:r>
      <w:r w:rsidRPr="002213D7">
        <w:t xml:space="preserve">ailure </w:t>
      </w:r>
      <w:r>
        <w:t>i</w:t>
      </w:r>
      <w:r w:rsidRPr="002213D7">
        <w:t>nformation</w:t>
      </w:r>
      <w:bookmarkEnd w:id="4"/>
      <w:bookmarkEnd w:id="5"/>
    </w:p>
    <w:p w14:paraId="08C48434" w14:textId="77777777" w:rsidR="00B86B7D" w:rsidRDefault="00B86B7D" w:rsidP="00B86B7D">
      <w:pPr>
        <w:pStyle w:val="Heading4"/>
      </w:pPr>
      <w:r w:rsidRPr="00535529">
        <w:t>5.</w:t>
      </w:r>
      <w:r>
        <w:t>7</w:t>
      </w:r>
      <w:r w:rsidRPr="00535529">
        <w:t>.</w:t>
      </w:r>
      <w:r>
        <w:t>3.1</w:t>
      </w:r>
      <w:r w:rsidRPr="00535529">
        <w:tab/>
        <w:t>General</w:t>
      </w:r>
    </w:p>
    <w:bookmarkStart w:id="6" w:name="_MON_1475577171"/>
    <w:bookmarkEnd w:id="6"/>
    <w:p w14:paraId="761064E0" w14:textId="77777777" w:rsidR="00B86B7D" w:rsidRDefault="00B86B7D" w:rsidP="00B86B7D">
      <w:pPr>
        <w:jc w:val="center"/>
      </w:pPr>
      <w:r>
        <w:object w:dxaOrig="6855" w:dyaOrig="2535" w14:anchorId="0D21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20pt" o:ole="">
            <v:imagedata r:id="rId8" o:title=""/>
          </v:shape>
          <o:OLEObject Type="Embed" ProgID="Word.Picture.8" ShapeID="_x0000_i1025" DrawAspect="Content" ObjectID="_1572351696" r:id="rId9"/>
        </w:object>
      </w:r>
    </w:p>
    <w:p w14:paraId="6DFAE919" w14:textId="77777777" w:rsidR="00B86B7D" w:rsidRDefault="00B86B7D" w:rsidP="00B86B7D">
      <w:pPr>
        <w:pStyle w:val="FigureTitle"/>
      </w:pPr>
      <w:r w:rsidRPr="00535529">
        <w:t>Figure 5.6.13.1-1: SCG failure information</w:t>
      </w:r>
    </w:p>
    <w:p w14:paraId="4DCD4A82" w14:textId="77777777" w:rsidR="00B86B7D" w:rsidRDefault="00B86B7D" w:rsidP="00B86B7D">
      <w:r>
        <w:t xml:space="preserve">The purpose of this procedure is to inform EUTRAN or NR MN about an SCG failure the UE has experienced i.e. SCG radio link failure, SCG change failure, SCG configuration failure for RRC message on SRB3, SCG integrity check failure and exceeding the maximum uplink transmission timing difference. </w:t>
      </w:r>
    </w:p>
    <w:p w14:paraId="57B042C1" w14:textId="77777777" w:rsidR="00B86B7D" w:rsidRDefault="00B86B7D" w:rsidP="00B86B7D">
      <w:pPr>
        <w:pStyle w:val="EditorsNote"/>
      </w:pPr>
      <w:r>
        <w:t xml:space="preserve">Editor’s Note: SCG failure considers the case of exceeding the maximum uplink transmission timing difference if RAN1 decides that EN-DC supports the synchronised operation case. </w:t>
      </w:r>
    </w:p>
    <w:p w14:paraId="1FFDC4AD" w14:textId="77777777" w:rsidR="00B86B7D" w:rsidRDefault="00B86B7D" w:rsidP="00B86B7D">
      <w:pPr>
        <w:pStyle w:val="EditorsNote"/>
      </w:pPr>
      <w:r>
        <w:t>Editor’s Note: FFS whether to include the handling of SCell Failure in CA duplication case in SCGfailureinformation procedure and whether to rename SCGfailureinformation.</w:t>
      </w:r>
    </w:p>
    <w:p w14:paraId="656EDD2A" w14:textId="77777777" w:rsidR="00B86B7D" w:rsidRDefault="00B86B7D" w:rsidP="00B86B7D">
      <w:pPr>
        <w:pStyle w:val="Heading4"/>
      </w:pPr>
      <w:r>
        <w:t>5.7.3.2</w:t>
      </w:r>
      <w:r>
        <w:tab/>
        <w:t>Initiation</w:t>
      </w:r>
    </w:p>
    <w:p w14:paraId="69277690" w14:textId="77777777" w:rsidR="00B86B7D" w:rsidRDefault="00B86B7D" w:rsidP="00B86B7D">
      <w:r>
        <w:t>A UE initiates the procedure to report SCG failures when SCG transmission is not suspended and when one of the following conditions is met:</w:t>
      </w:r>
    </w:p>
    <w:p w14:paraId="29FC5824" w14:textId="44362F40" w:rsidR="00B86B7D" w:rsidRDefault="00B86B7D" w:rsidP="00B86B7D">
      <w:pPr>
        <w:pStyle w:val="B1"/>
      </w:pPr>
      <w:r>
        <w:t>1&gt;</w:t>
      </w:r>
      <w:r>
        <w:tab/>
        <w:t>upon detecting radio link failure for the SCG, in accordance with</w:t>
      </w:r>
      <w:r w:rsidR="009D4BC2">
        <w:t xml:space="preserve"> 5.3.11.3</w:t>
      </w:r>
      <w:r>
        <w:t>, or</w:t>
      </w:r>
    </w:p>
    <w:p w14:paraId="50CE3126" w14:textId="01566992" w:rsidR="00B86B7D" w:rsidRDefault="00B86B7D" w:rsidP="00B86B7D">
      <w:pPr>
        <w:pStyle w:val="B1"/>
      </w:pPr>
      <w:r>
        <w:t>1&gt;</w:t>
      </w:r>
      <w:r>
        <w:tab/>
        <w:t xml:space="preserve">upon SCG change failure, in accordance with </w:t>
      </w:r>
      <w:r w:rsidR="009D4BC2">
        <w:t>5.3.5.8.3</w:t>
      </w:r>
      <w:r>
        <w:t>, or</w:t>
      </w:r>
    </w:p>
    <w:p w14:paraId="11405101" w14:textId="77777777" w:rsidR="00B86B7D" w:rsidRDefault="00B86B7D" w:rsidP="00B86B7D">
      <w:pPr>
        <w:pStyle w:val="B1"/>
      </w:pPr>
      <w:r>
        <w:t>1&gt;</w:t>
      </w:r>
      <w:r>
        <w:tab/>
        <w:t>upon stopping uplink transmission towards the SCG’s PCell due to exceeding the maximum uplink transmission timing difference, in accordance with subclause x.x.x of TS 38.133 [xx].</w:t>
      </w:r>
    </w:p>
    <w:p w14:paraId="6B7050CD" w14:textId="77777777" w:rsidR="00B86B7D" w:rsidRDefault="00B86B7D" w:rsidP="00B86B7D">
      <w:pPr>
        <w:pStyle w:val="EditorsNote"/>
      </w:pPr>
      <w:r>
        <w:t>Editor’s Note: FFS on RAN1 decision on powerControlMode;</w:t>
      </w:r>
    </w:p>
    <w:p w14:paraId="4ED8C694" w14:textId="3497B08E" w:rsidR="00B86B7D" w:rsidRDefault="00B86B7D" w:rsidP="00B86B7D">
      <w:pPr>
        <w:pStyle w:val="B1"/>
      </w:pPr>
      <w:r>
        <w:t>1&gt;</w:t>
      </w:r>
      <w:r>
        <w:tab/>
        <w:t>upon SCG configurati</w:t>
      </w:r>
      <w:r w:rsidR="00F54459">
        <w:t>on failure, in accordance with 5.3.5.8.2</w:t>
      </w:r>
      <w:r>
        <w:t>;</w:t>
      </w:r>
    </w:p>
    <w:p w14:paraId="6D46EA37" w14:textId="68A9A569" w:rsidR="00B86B7D" w:rsidRDefault="00B86B7D" w:rsidP="00B86B7D">
      <w:pPr>
        <w:pStyle w:val="B1"/>
      </w:pPr>
      <w:r>
        <w:t>1&gt;</w:t>
      </w:r>
      <w:r>
        <w:tab/>
      </w:r>
      <w:r w:rsidR="00F54459">
        <w:t>upon integrity check failure indication from SCG lower layers, in accordance with subclause 5.3.5.8.2</w:t>
      </w:r>
      <w:r>
        <w:t>;</w:t>
      </w:r>
    </w:p>
    <w:p w14:paraId="549420A3" w14:textId="77777777" w:rsidR="00B86B7D" w:rsidRDefault="00B86B7D" w:rsidP="00B86B7D">
      <w:r>
        <w:t>Upon initiating the procedure, the UE shall:</w:t>
      </w:r>
    </w:p>
    <w:p w14:paraId="51B4F357" w14:textId="77777777" w:rsidR="00B86B7D" w:rsidRDefault="00B86B7D" w:rsidP="00B86B7D">
      <w:pPr>
        <w:pStyle w:val="B1"/>
      </w:pPr>
      <w:r>
        <w:t>1&gt;</w:t>
      </w:r>
      <w:r>
        <w:tab/>
        <w:t xml:space="preserve">suspend SCG transmission for all SRBs and DRBs; </w:t>
      </w:r>
    </w:p>
    <w:p w14:paraId="25E8408D" w14:textId="77777777" w:rsidR="00B86B7D" w:rsidRDefault="00B86B7D" w:rsidP="00B86B7D">
      <w:pPr>
        <w:pStyle w:val="B1"/>
      </w:pPr>
      <w:r>
        <w:t>1&gt;</w:t>
      </w:r>
      <w:r>
        <w:tab/>
        <w:t>reset SCG-MAC;</w:t>
      </w:r>
    </w:p>
    <w:p w14:paraId="5A0122EF" w14:textId="01260023" w:rsidR="00B86B7D" w:rsidRDefault="00922C01" w:rsidP="00B86B7D">
      <w:pPr>
        <w:pStyle w:val="B1"/>
      </w:pPr>
      <w:r>
        <w:t>1&gt;</w:t>
      </w:r>
      <w:r>
        <w:tab/>
        <w:t>stop T304</w:t>
      </w:r>
      <w:r w:rsidR="00B86B7D">
        <w:t>;</w:t>
      </w:r>
    </w:p>
    <w:p w14:paraId="15C58BA5" w14:textId="77777777" w:rsidR="00B86B7D" w:rsidRDefault="00B86B7D" w:rsidP="00B86B7D">
      <w:pPr>
        <w:pStyle w:val="B1"/>
      </w:pPr>
      <w:r>
        <w:t>1&gt;</w:t>
      </w:r>
      <w:r>
        <w:tab/>
        <w:t>if the UE is operating in EN-DC:</w:t>
      </w:r>
    </w:p>
    <w:p w14:paraId="40FB4562" w14:textId="49D7FA81" w:rsidR="000926A2" w:rsidRDefault="000926A2" w:rsidP="00B86B7D">
      <w:pPr>
        <w:pStyle w:val="B2"/>
        <w:rPr>
          <w:ins w:id="7" w:author="Author"/>
        </w:rPr>
      </w:pPr>
      <w:ins w:id="8" w:author="Author">
        <w:r>
          <w:t xml:space="preserve">2&gt; </w:t>
        </w:r>
        <w:r w:rsidR="00780E5D">
          <w:t>if SCG path is the only configured path for SRB1:</w:t>
        </w:r>
      </w:ins>
    </w:p>
    <w:p w14:paraId="7A7C1A71" w14:textId="709BA74C" w:rsidR="00780E5D" w:rsidRDefault="00780E5D">
      <w:pPr>
        <w:pStyle w:val="B2"/>
        <w:ind w:left="1135"/>
        <w:rPr>
          <w:ins w:id="9" w:author="Author"/>
        </w:rPr>
        <w:pPrChange w:id="10" w:author="Author">
          <w:pPr>
            <w:pStyle w:val="B2"/>
          </w:pPr>
        </w:pPrChange>
      </w:pPr>
      <w:ins w:id="11" w:author="Author">
        <w:r>
          <w:t>3&gt;</w:t>
        </w:r>
        <w:r>
          <w:tab/>
        </w:r>
        <w:r w:rsidRPr="00780E5D">
          <w:t>initiate the connection re-establishment procedure as specified in 5.3.7</w:t>
        </w:r>
        <w:r>
          <w:t xml:space="preserve"> of 36.331</w:t>
        </w:r>
      </w:ins>
    </w:p>
    <w:p w14:paraId="5B4731F8" w14:textId="4C482445" w:rsidR="000926A2" w:rsidRDefault="000926A2" w:rsidP="00B86B7D">
      <w:pPr>
        <w:pStyle w:val="B2"/>
        <w:rPr>
          <w:ins w:id="12" w:author="Author"/>
        </w:rPr>
      </w:pPr>
      <w:ins w:id="13" w:author="Author">
        <w:r>
          <w:t>2&gt; else:</w:t>
        </w:r>
      </w:ins>
    </w:p>
    <w:p w14:paraId="568B01B2" w14:textId="654F6B2F" w:rsidR="00B86B7D" w:rsidRDefault="00B86B7D">
      <w:pPr>
        <w:pStyle w:val="B2"/>
        <w:ind w:left="1135"/>
        <w:pPrChange w:id="14" w:author="Author">
          <w:pPr>
            <w:pStyle w:val="B2"/>
          </w:pPr>
        </w:pPrChange>
      </w:pPr>
      <w:del w:id="15" w:author="Author">
        <w:r w:rsidDel="000926A2">
          <w:delText>2</w:delText>
        </w:r>
      </w:del>
      <w:ins w:id="16" w:author="Author">
        <w:r w:rsidR="000926A2">
          <w:t>3</w:t>
        </w:r>
      </w:ins>
      <w:r>
        <w:t>&gt;</w:t>
      </w:r>
      <w:r>
        <w:tab/>
      </w:r>
      <w:r w:rsidR="00922C01">
        <w:t>determine the failure type in accordance with subclause 5.7.3.3</w:t>
      </w:r>
      <w:r>
        <w:t>;</w:t>
      </w:r>
    </w:p>
    <w:p w14:paraId="2DCCF1D1" w14:textId="5CD030AA" w:rsidR="00B86B7D" w:rsidRDefault="00B86B7D">
      <w:pPr>
        <w:pStyle w:val="B2"/>
        <w:ind w:left="1135"/>
        <w:pPrChange w:id="17" w:author="Author">
          <w:pPr>
            <w:pStyle w:val="B2"/>
          </w:pPr>
        </w:pPrChange>
      </w:pPr>
      <w:del w:id="18" w:author="Author">
        <w:r w:rsidDel="000926A2">
          <w:lastRenderedPageBreak/>
          <w:delText>2</w:delText>
        </w:r>
      </w:del>
      <w:ins w:id="19" w:author="Author">
        <w:r w:rsidR="000926A2">
          <w:t>3</w:t>
        </w:r>
      </w:ins>
      <w:r>
        <w:t>&gt;</w:t>
      </w:r>
      <w:r>
        <w:tab/>
        <w:t>indicate the failure type information to the MCG RRC entity;</w:t>
      </w:r>
    </w:p>
    <w:p w14:paraId="2A65A4D6" w14:textId="39E7D7C1" w:rsidR="00B86B7D" w:rsidRDefault="00B86B7D">
      <w:pPr>
        <w:pStyle w:val="B2"/>
        <w:ind w:left="1135"/>
        <w:pPrChange w:id="20" w:author="Author">
          <w:pPr>
            <w:pStyle w:val="B2"/>
          </w:pPr>
        </w:pPrChange>
      </w:pPr>
      <w:del w:id="21" w:author="Author">
        <w:r w:rsidDel="000926A2">
          <w:delText>2</w:delText>
        </w:r>
      </w:del>
      <w:ins w:id="22" w:author="Author">
        <w:r w:rsidR="000926A2">
          <w:t>3</w:t>
        </w:r>
      </w:ins>
      <w:r>
        <w:t>&gt;</w:t>
      </w:r>
      <w:r>
        <w:tab/>
        <w:t>initiate transmission of the SCGFailureInformation message as specified in 5.6.13.3 of 36.331;</w:t>
      </w:r>
    </w:p>
    <w:p w14:paraId="18716B47" w14:textId="77777777" w:rsidR="00B86B7D" w:rsidRDefault="00B86B7D" w:rsidP="00B86B7D">
      <w:pPr>
        <w:pStyle w:val="B1"/>
      </w:pPr>
      <w:r>
        <w:t>1&gt;</w:t>
      </w:r>
      <w:r>
        <w:tab/>
        <w:t>else:</w:t>
      </w:r>
    </w:p>
    <w:p w14:paraId="522D4BD9" w14:textId="77777777" w:rsidR="00B86B7D" w:rsidRDefault="00B86B7D" w:rsidP="00B86B7D">
      <w:pPr>
        <w:pStyle w:val="B2"/>
      </w:pPr>
      <w:r>
        <w:t>2&gt;</w:t>
      </w:r>
      <w:r>
        <w:tab/>
        <w:t xml:space="preserve">initiate transmission of the SCGFailureInformation message in accordance with </w:t>
      </w:r>
      <w:r w:rsidRPr="00E63C49">
        <w:rPr>
          <w:highlight w:val="yellow"/>
        </w:rPr>
        <w:t>[ref Actions related to transmission of SCGFailureInformation message, e.g. 5.6.13.3]</w:t>
      </w:r>
      <w:r>
        <w:t>.</w:t>
      </w:r>
    </w:p>
    <w:p w14:paraId="2EC3A17E" w14:textId="77777777" w:rsidR="00B86B7D" w:rsidRDefault="00B86B7D" w:rsidP="00B86B7D">
      <w:pPr>
        <w:pStyle w:val="EditorsNote"/>
      </w:pPr>
      <w:r>
        <w:t xml:space="preserve">Editor’s Note: for EN-DC, transmission of SCGFailureInformation message is transmitted through LTE RRC entity. The section for transmission of SCGFailureInformation in NR RRC entity for SA is FFS. </w:t>
      </w:r>
    </w:p>
    <w:p w14:paraId="22173A90" w14:textId="77777777" w:rsidR="00B86B7D" w:rsidRDefault="00B86B7D" w:rsidP="00B86B7D">
      <w:pPr>
        <w:pStyle w:val="EditorsNote"/>
      </w:pPr>
      <w:r>
        <w:t>Editor’s Note: In order to make the interaction between LTE RRC entity and NR RRC entity clear. New sections for the failure type determination and the content setting for the container are introduced below.</w:t>
      </w:r>
    </w:p>
    <w:p w14:paraId="1B2E8018" w14:textId="77777777" w:rsidR="004D3052" w:rsidRPr="00D11264" w:rsidRDefault="004D3052" w:rsidP="00D11264">
      <w:pPr>
        <w:spacing w:after="60"/>
        <w:rPr>
          <w:rFonts w:ascii="Arial" w:hAnsi="Arial" w:cs="Arial"/>
          <w:lang w:eastAsia="ko-KR"/>
        </w:rPr>
      </w:pPr>
    </w:p>
    <w:sectPr w:rsidR="004D3052" w:rsidRPr="00D1126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004FE" w14:textId="77777777" w:rsidR="00902793" w:rsidRDefault="00902793">
      <w:r>
        <w:separator/>
      </w:r>
    </w:p>
  </w:endnote>
  <w:endnote w:type="continuationSeparator" w:id="0">
    <w:p w14:paraId="1521588B" w14:textId="77777777" w:rsidR="00902793" w:rsidRDefault="0090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6DE13" w14:textId="77777777" w:rsidR="00902793" w:rsidRDefault="00902793">
      <w:r>
        <w:separator/>
      </w:r>
    </w:p>
  </w:footnote>
  <w:footnote w:type="continuationSeparator" w:id="0">
    <w:p w14:paraId="7340526B" w14:textId="77777777" w:rsidR="00902793" w:rsidRDefault="009027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3460E"/>
    <w:multiLevelType w:val="hybridMultilevel"/>
    <w:tmpl w:val="95C2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3"/>
  </w:num>
  <w:num w:numId="4">
    <w:abstractNumId w:val="17"/>
  </w:num>
  <w:num w:numId="5">
    <w:abstractNumId w:val="9"/>
  </w:num>
  <w:num w:numId="6">
    <w:abstractNumId w:val="15"/>
  </w:num>
  <w:num w:numId="7">
    <w:abstractNumId w:val="16"/>
  </w:num>
  <w:num w:numId="8">
    <w:abstractNumId w:val="14"/>
  </w:num>
  <w:num w:numId="9">
    <w:abstractNumId w:val="2"/>
  </w:num>
  <w:num w:numId="10">
    <w:abstractNumId w:val="6"/>
  </w:num>
  <w:num w:numId="11">
    <w:abstractNumId w:val="18"/>
  </w:num>
  <w:num w:numId="12">
    <w:abstractNumId w:val="10"/>
  </w:num>
  <w:num w:numId="13">
    <w:abstractNumId w:val="1"/>
  </w:num>
  <w:num w:numId="14">
    <w:abstractNumId w:val="21"/>
  </w:num>
  <w:num w:numId="15">
    <w:abstractNumId w:val="5"/>
  </w:num>
  <w:num w:numId="16">
    <w:abstractNumId w:val="19"/>
  </w:num>
  <w:num w:numId="17">
    <w:abstractNumId w:val="7"/>
  </w:num>
  <w:num w:numId="18">
    <w:abstractNumId w:val="11"/>
  </w:num>
  <w:num w:numId="19">
    <w:abstractNumId w:val="8"/>
  </w:num>
  <w:num w:numId="20">
    <w:abstractNumId w:val="22"/>
  </w:num>
  <w:num w:numId="21">
    <w:abstractNumId w:val="20"/>
  </w:num>
  <w:num w:numId="22">
    <w:abstractNumId w:val="12"/>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E76"/>
    <w:rsid w:val="000146BF"/>
    <w:rsid w:val="00014C64"/>
    <w:rsid w:val="0001634A"/>
    <w:rsid w:val="00016C2D"/>
    <w:rsid w:val="00016D38"/>
    <w:rsid w:val="00016E5D"/>
    <w:rsid w:val="000171C2"/>
    <w:rsid w:val="00017628"/>
    <w:rsid w:val="0002085E"/>
    <w:rsid w:val="000209C9"/>
    <w:rsid w:val="00021297"/>
    <w:rsid w:val="00021755"/>
    <w:rsid w:val="00021FA4"/>
    <w:rsid w:val="00022D2D"/>
    <w:rsid w:val="00022E4A"/>
    <w:rsid w:val="00023304"/>
    <w:rsid w:val="00023366"/>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A6D"/>
    <w:rsid w:val="00051913"/>
    <w:rsid w:val="00053DBC"/>
    <w:rsid w:val="00053EB7"/>
    <w:rsid w:val="0005466B"/>
    <w:rsid w:val="00054D4E"/>
    <w:rsid w:val="000556AB"/>
    <w:rsid w:val="00056789"/>
    <w:rsid w:val="00057E1E"/>
    <w:rsid w:val="00057F60"/>
    <w:rsid w:val="00060934"/>
    <w:rsid w:val="00061674"/>
    <w:rsid w:val="000616F5"/>
    <w:rsid w:val="000617F2"/>
    <w:rsid w:val="00061902"/>
    <w:rsid w:val="0006197D"/>
    <w:rsid w:val="00062088"/>
    <w:rsid w:val="00062934"/>
    <w:rsid w:val="00062E4D"/>
    <w:rsid w:val="000637FC"/>
    <w:rsid w:val="00063CC6"/>
    <w:rsid w:val="000646CD"/>
    <w:rsid w:val="00064A49"/>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6A2"/>
    <w:rsid w:val="00092FA7"/>
    <w:rsid w:val="0009374C"/>
    <w:rsid w:val="00093DAE"/>
    <w:rsid w:val="00094490"/>
    <w:rsid w:val="00094840"/>
    <w:rsid w:val="00095608"/>
    <w:rsid w:val="00096800"/>
    <w:rsid w:val="00096CA7"/>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059"/>
    <w:rsid w:val="000B71C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8C1"/>
    <w:rsid w:val="000E4A7B"/>
    <w:rsid w:val="000E5012"/>
    <w:rsid w:val="000E576C"/>
    <w:rsid w:val="000E6C3D"/>
    <w:rsid w:val="000F0135"/>
    <w:rsid w:val="000F0675"/>
    <w:rsid w:val="000F339D"/>
    <w:rsid w:val="000F411B"/>
    <w:rsid w:val="000F42A7"/>
    <w:rsid w:val="000F42E4"/>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CB7"/>
    <w:rsid w:val="00172F10"/>
    <w:rsid w:val="00173344"/>
    <w:rsid w:val="00173394"/>
    <w:rsid w:val="00174151"/>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4CC"/>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93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472"/>
    <w:rsid w:val="00296627"/>
    <w:rsid w:val="00296EBC"/>
    <w:rsid w:val="002971A0"/>
    <w:rsid w:val="00297B9D"/>
    <w:rsid w:val="00297FAC"/>
    <w:rsid w:val="002A246F"/>
    <w:rsid w:val="002A2497"/>
    <w:rsid w:val="002A45F5"/>
    <w:rsid w:val="002A49B1"/>
    <w:rsid w:val="002A6239"/>
    <w:rsid w:val="002A7EDA"/>
    <w:rsid w:val="002B0388"/>
    <w:rsid w:val="002B1F9F"/>
    <w:rsid w:val="002B24DC"/>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D7E"/>
    <w:rsid w:val="002F3F09"/>
    <w:rsid w:val="002F449C"/>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D62"/>
    <w:rsid w:val="0032716A"/>
    <w:rsid w:val="0033104F"/>
    <w:rsid w:val="00331164"/>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5585"/>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87942"/>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31B"/>
    <w:rsid w:val="004615E9"/>
    <w:rsid w:val="004621B4"/>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C57"/>
    <w:rsid w:val="00471DB1"/>
    <w:rsid w:val="00472C58"/>
    <w:rsid w:val="0047366A"/>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151"/>
    <w:rsid w:val="004929B0"/>
    <w:rsid w:val="00492CED"/>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A72"/>
    <w:rsid w:val="004D2685"/>
    <w:rsid w:val="004D3052"/>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7CEF"/>
    <w:rsid w:val="0054099C"/>
    <w:rsid w:val="00540F93"/>
    <w:rsid w:val="0054171E"/>
    <w:rsid w:val="005418DB"/>
    <w:rsid w:val="00542904"/>
    <w:rsid w:val="0054336B"/>
    <w:rsid w:val="00543D4E"/>
    <w:rsid w:val="00547241"/>
    <w:rsid w:val="0054749A"/>
    <w:rsid w:val="00547CFA"/>
    <w:rsid w:val="00550B2B"/>
    <w:rsid w:val="005515B3"/>
    <w:rsid w:val="00551D89"/>
    <w:rsid w:val="00552733"/>
    <w:rsid w:val="00552971"/>
    <w:rsid w:val="0055339B"/>
    <w:rsid w:val="005536D5"/>
    <w:rsid w:val="005542AF"/>
    <w:rsid w:val="0055542D"/>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53EE"/>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226"/>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D95"/>
    <w:rsid w:val="0065738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10A"/>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49F5"/>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0E5D"/>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2F4"/>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08DE"/>
    <w:rsid w:val="00842B3E"/>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0F6E"/>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2793"/>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01"/>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331E"/>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5965"/>
    <w:rsid w:val="009B5EB0"/>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4BC2"/>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3C53"/>
    <w:rsid w:val="00A03E18"/>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526C"/>
    <w:rsid w:val="00A36356"/>
    <w:rsid w:val="00A36690"/>
    <w:rsid w:val="00A36CBB"/>
    <w:rsid w:val="00A37A83"/>
    <w:rsid w:val="00A40BA1"/>
    <w:rsid w:val="00A40DA0"/>
    <w:rsid w:val="00A41C32"/>
    <w:rsid w:val="00A41E7C"/>
    <w:rsid w:val="00A44BF8"/>
    <w:rsid w:val="00A458A9"/>
    <w:rsid w:val="00A47B29"/>
    <w:rsid w:val="00A47E70"/>
    <w:rsid w:val="00A505FA"/>
    <w:rsid w:val="00A50CFB"/>
    <w:rsid w:val="00A519F5"/>
    <w:rsid w:val="00A51A11"/>
    <w:rsid w:val="00A53C05"/>
    <w:rsid w:val="00A53D28"/>
    <w:rsid w:val="00A53EF7"/>
    <w:rsid w:val="00A540C6"/>
    <w:rsid w:val="00A547B7"/>
    <w:rsid w:val="00A54BED"/>
    <w:rsid w:val="00A55B59"/>
    <w:rsid w:val="00A562C3"/>
    <w:rsid w:val="00A5639D"/>
    <w:rsid w:val="00A57674"/>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0D16"/>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4624"/>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2857"/>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0C78"/>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B7D"/>
    <w:rsid w:val="00B86DC0"/>
    <w:rsid w:val="00B87892"/>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46F8"/>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B06"/>
    <w:rsid w:val="00C40D00"/>
    <w:rsid w:val="00C40F99"/>
    <w:rsid w:val="00C41E47"/>
    <w:rsid w:val="00C420A0"/>
    <w:rsid w:val="00C42277"/>
    <w:rsid w:val="00C422DB"/>
    <w:rsid w:val="00C42A67"/>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A70"/>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6564"/>
    <w:rsid w:val="00CD7054"/>
    <w:rsid w:val="00CD7B28"/>
    <w:rsid w:val="00CE0305"/>
    <w:rsid w:val="00CE2C7F"/>
    <w:rsid w:val="00CE3F38"/>
    <w:rsid w:val="00CE43D6"/>
    <w:rsid w:val="00CE45E9"/>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756"/>
    <w:rsid w:val="00CF3D99"/>
    <w:rsid w:val="00CF4D66"/>
    <w:rsid w:val="00CF6236"/>
    <w:rsid w:val="00CF6815"/>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3FC4"/>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906"/>
    <w:rsid w:val="00D61F3A"/>
    <w:rsid w:val="00D61FFE"/>
    <w:rsid w:val="00D62611"/>
    <w:rsid w:val="00D62AE6"/>
    <w:rsid w:val="00D62EBA"/>
    <w:rsid w:val="00D633E9"/>
    <w:rsid w:val="00D63E76"/>
    <w:rsid w:val="00D6404E"/>
    <w:rsid w:val="00D65ABD"/>
    <w:rsid w:val="00D65E85"/>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515"/>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4AFC"/>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3F8F"/>
    <w:rsid w:val="00DF4C50"/>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2FD2"/>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0F3"/>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9A0"/>
    <w:rsid w:val="00F50199"/>
    <w:rsid w:val="00F505FE"/>
    <w:rsid w:val="00F51D5F"/>
    <w:rsid w:val="00F52478"/>
    <w:rsid w:val="00F530D7"/>
    <w:rsid w:val="00F54037"/>
    <w:rsid w:val="00F54459"/>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0C87"/>
    <w:rsid w:val="00F915EB"/>
    <w:rsid w:val="00F93917"/>
    <w:rsid w:val="00F944F1"/>
    <w:rsid w:val="00F9457B"/>
    <w:rsid w:val="00F94BD8"/>
    <w:rsid w:val="00F96980"/>
    <w:rsid w:val="00F973A1"/>
    <w:rsid w:val="00F97C1E"/>
    <w:rsid w:val="00FA10DA"/>
    <w:rsid w:val="00FA1F18"/>
    <w:rsid w:val="00FA213D"/>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73"/>
    <w:rsid w:val="00FB34BA"/>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6AE2"/>
    <w:rsid w:val="00FC701C"/>
    <w:rsid w:val="00FC72E6"/>
    <w:rsid w:val="00FC7B18"/>
    <w:rsid w:val="00FD25C7"/>
    <w:rsid w:val="00FD2825"/>
    <w:rsid w:val="00FD2838"/>
    <w:rsid w:val="00FD2CF1"/>
    <w:rsid w:val="00FD3082"/>
    <w:rsid w:val="00FD322F"/>
    <w:rsid w:val="00FD5002"/>
    <w:rsid w:val="00FD527B"/>
    <w:rsid w:val="00FD5316"/>
    <w:rsid w:val="00FD5609"/>
    <w:rsid w:val="00FD567F"/>
    <w:rsid w:val="00FE1078"/>
    <w:rsid w:val="00FE2FF9"/>
    <w:rsid w:val="00FE3225"/>
    <w:rsid w:val="00FE39CC"/>
    <w:rsid w:val="00FE458F"/>
    <w:rsid w:val="00FE49EC"/>
    <w:rsid w:val="00FE4D4F"/>
    <w:rsid w:val="00FE681B"/>
    <w:rsid w:val="00FE6A68"/>
    <w:rsid w:val="00FE7C27"/>
    <w:rsid w:val="00FF0FCC"/>
    <w:rsid w:val="00FF15A1"/>
    <w:rsid w:val="00FF1987"/>
    <w:rsid w:val="00FF2239"/>
    <w:rsid w:val="00FF2394"/>
    <w:rsid w:val="00FF2FA1"/>
    <w:rsid w:val="00FF384F"/>
    <w:rsid w:val="00FF3AF6"/>
    <w:rsid w:val="00FF46D5"/>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paragraph" w:customStyle="1" w:styleId="FigureTitle">
    <w:name w:val="Figure_Title"/>
    <w:basedOn w:val="Normal"/>
    <w:next w:val="Normal"/>
    <w:rsid w:val="00B8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8691795">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0336032">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B141A-18CB-4DBB-B11C-998715DD4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2017-11-16T07:35:00Z</dcterms:modified>
</cp:coreProperties>
</file>